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B9126B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13A19DCF" w:rsidR="00B9126B" w:rsidRPr="001858E3" w:rsidRDefault="00B9126B" w:rsidP="001858E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5EAF9D7A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2EA6B688" w14:textId="64B98760" w:rsidR="003A7285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Become fluent and confident to recall all tables to </w:t>
            </w:r>
            <w:r w:rsidR="003A7285" w:rsidRPr="00290E78">
              <w:rPr>
                <w:sz w:val="20"/>
                <w:szCs w:val="20"/>
              </w:rPr>
              <w:t xml:space="preserve"> x 12</w:t>
            </w:r>
          </w:p>
          <w:p w14:paraId="5C6DF7B1" w14:textId="09EAAE29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the context of a week and a calendar to support the 7 times table (e.g. how many days in 5 weeks?)</w:t>
            </w:r>
          </w:p>
          <w:p w14:paraId="5D714D4E" w14:textId="123930A2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of finger strategy for 9 times table.</w:t>
            </w:r>
          </w:p>
          <w:p w14:paraId="01C4294E" w14:textId="0E37C440" w:rsidR="007713CD" w:rsidRPr="00290E78" w:rsidRDefault="007713CD" w:rsidP="002D3CBE">
            <w:pPr>
              <w:rPr>
                <w:sz w:val="20"/>
                <w:szCs w:val="20"/>
              </w:rPr>
            </w:pPr>
          </w:p>
          <w:p w14:paraId="6216EF9D" w14:textId="0DEAC004" w:rsidR="003A7285" w:rsidRPr="00290E78" w:rsidRDefault="003A7285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3 numbers together</w:t>
            </w:r>
          </w:p>
          <w:p w14:paraId="787E6FF1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57DD30DB" w14:textId="77777777" w:rsidR="00D5769B" w:rsidRPr="00290E78" w:rsidRDefault="00D5769B" w:rsidP="00D5769B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7EC247E6" w14:textId="13B8339B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7E4D380A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4D242593" w14:textId="6228E776" w:rsidR="00271294" w:rsidRPr="00290E78" w:rsidRDefault="00271294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7A91FA39" w14:textId="650DFFE6" w:rsidR="00883BB6" w:rsidRPr="00290E78" w:rsidRDefault="00883BB6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5FA4D315" w14:textId="77777777" w:rsidR="000F2EC1" w:rsidRPr="00290E78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142B168" w14:textId="77777777" w:rsidR="00695028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47C03D21" w14:textId="5B2C539F" w:rsidR="004F494F" w:rsidRPr="00290E78" w:rsidRDefault="007713CD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F</w:t>
            </w:r>
            <w:r w:rsidR="003A7285" w:rsidRPr="00290E78">
              <w:rPr>
                <w:sz w:val="20"/>
                <w:szCs w:val="20"/>
              </w:rPr>
              <w:t>actor</w:t>
            </w:r>
          </w:p>
          <w:p w14:paraId="3C8B4F35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72325A70" w14:textId="23397EF2" w:rsidR="00307067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gi</w:t>
            </w:r>
            <w:r w:rsidR="007713CD" w:rsidRPr="00290E78">
              <w:rPr>
                <w:sz w:val="20"/>
                <w:szCs w:val="20"/>
              </w:rPr>
              <w:t xml:space="preserve">ven the opportunity to investigate </w:t>
            </w:r>
            <w:r w:rsidR="00965897" w:rsidRPr="00290E78">
              <w:rPr>
                <w:sz w:val="20"/>
                <w:szCs w:val="20"/>
              </w:rPr>
              <w:t xml:space="preserve">numbers multiplied by 1 and 0. </w:t>
            </w:r>
          </w:p>
          <w:p w14:paraId="422CA0A3" w14:textId="77777777" w:rsidR="000D2419" w:rsidRDefault="000D2419" w:rsidP="001858E3">
            <w:pPr>
              <w:rPr>
                <w:sz w:val="20"/>
                <w:szCs w:val="20"/>
              </w:rPr>
            </w:pPr>
          </w:p>
          <w:p w14:paraId="451B6927" w14:textId="0C9361CF" w:rsidR="000D2419" w:rsidRPr="00290E78" w:rsidRDefault="000D2419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 facts up to x12, do they know what x13 is? (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>. can they use 4x12 to work out 4x13 and 4x14 and beyond?)</w:t>
            </w:r>
          </w:p>
          <w:p w14:paraId="4E90EE73" w14:textId="77777777" w:rsidR="007713CD" w:rsidRPr="00290E78" w:rsidRDefault="007713CD" w:rsidP="00E714CA">
            <w:pPr>
              <w:rPr>
                <w:b/>
                <w:sz w:val="20"/>
                <w:szCs w:val="20"/>
                <w:u w:val="single"/>
              </w:rPr>
            </w:pPr>
          </w:p>
          <w:p w14:paraId="10C46085" w14:textId="77777777" w:rsidR="00E01AF2" w:rsidRPr="00290E78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072E5521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48DE1FCF" w14:textId="2ACE4AFD" w:rsidR="00721ABE" w:rsidRPr="00290E78" w:rsidRDefault="003A7285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by 10, 100, 1000, including decimals (Moving Digits ITP)</w:t>
            </w:r>
          </w:p>
          <w:p w14:paraId="17847934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2C743152" w14:textId="77777777" w:rsidR="00271294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</w:t>
            </w:r>
            <w:r w:rsidR="00271294" w:rsidRPr="00290E78">
              <w:rPr>
                <w:sz w:val="20"/>
                <w:szCs w:val="20"/>
              </w:rPr>
              <w:t xml:space="preserve"> to solve problems mentally</w:t>
            </w:r>
            <w:r w:rsidRPr="00290E78">
              <w:rPr>
                <w:sz w:val="20"/>
                <w:szCs w:val="20"/>
              </w:rPr>
              <w:t>:</w:t>
            </w:r>
          </w:p>
          <w:p w14:paraId="3CB7B70C" w14:textId="23D78479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4408ECFD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502A8BCB" w14:textId="1BA150BA" w:rsidR="00052EFA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Recall of times tables</w:t>
            </w:r>
            <w:r w:rsidR="00052EFA" w:rsidRPr="00290E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044D058" w14:textId="656EE18F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10976DE0" w14:textId="7241E830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0B41C4AA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75226008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B84BE45" w14:textId="19ED936F" w:rsidR="004F494F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cube numbers</w:t>
            </w:r>
          </w:p>
          <w:p w14:paraId="4A3DBF92" w14:textId="77777777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prime numbers</w:t>
            </w:r>
          </w:p>
          <w:p w14:paraId="3DEB315C" w14:textId="2661DE1F" w:rsidR="003A7285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square numbers</w:t>
            </w:r>
          </w:p>
          <w:p w14:paraId="605DEBB8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factors</w:t>
            </w:r>
          </w:p>
          <w:p w14:paraId="0E28DA5F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number, prime factors</w:t>
            </w:r>
          </w:p>
          <w:p w14:paraId="504E30E6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 numbers</w:t>
            </w:r>
          </w:p>
          <w:p w14:paraId="61BE660D" w14:textId="77777777" w:rsidR="000D2419" w:rsidRPr="00290E78" w:rsidRDefault="000D2419" w:rsidP="001858E3">
            <w:pPr>
              <w:rPr>
                <w:sz w:val="20"/>
                <w:szCs w:val="20"/>
              </w:rPr>
            </w:pPr>
          </w:p>
          <w:p w14:paraId="29189D00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46CD44B0" w14:textId="4BD0F831" w:rsidR="00721ABE" w:rsidRPr="00290E78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Relating arrays to an understanding of square numbers and making cubes to show cube numbers.</w:t>
            </w:r>
          </w:p>
          <w:p w14:paraId="50F9463C" w14:textId="4877C00C" w:rsidR="00120F79" w:rsidRPr="00290E78" w:rsidRDefault="00120F79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that the use of scaling by multiples of 10 can be used to convert between units of measure (e.g. metres to kilometres </w:t>
            </w:r>
            <w:r w:rsidR="00271294" w:rsidRPr="00290E78">
              <w:rPr>
                <w:sz w:val="20"/>
                <w:szCs w:val="20"/>
              </w:rPr>
              <w:t>means to times by</w:t>
            </w:r>
            <w:r w:rsidRPr="00290E78">
              <w:rPr>
                <w:sz w:val="20"/>
                <w:szCs w:val="20"/>
              </w:rPr>
              <w:t xml:space="preserve"> </w:t>
            </w:r>
            <w:r w:rsidR="00271294" w:rsidRPr="00290E78">
              <w:rPr>
                <w:sz w:val="20"/>
                <w:szCs w:val="20"/>
              </w:rPr>
              <w:t>1000)</w:t>
            </w:r>
          </w:p>
          <w:p w14:paraId="6A093EAC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Pr="00290E78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0C77171A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  <w:p w14:paraId="26021B9B" w14:textId="4FBDFE30" w:rsidR="00721ABE" w:rsidRPr="00290E78" w:rsidRDefault="00721ABE" w:rsidP="00307067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sz w:val="20"/>
                <w:szCs w:val="20"/>
              </w:rPr>
              <w:t>How do you know this is a prime number?</w:t>
            </w:r>
          </w:p>
        </w:tc>
        <w:tc>
          <w:tcPr>
            <w:tcW w:w="5245" w:type="dxa"/>
          </w:tcPr>
          <w:p w14:paraId="39E9D13E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5A0CF962" w14:textId="77777777" w:rsidR="00052EFA" w:rsidRPr="00290E78" w:rsidRDefault="00052EF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Pr="00290E78" w:rsidRDefault="00E714C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3B71EE76" w14:textId="77777777" w:rsidR="00271294" w:rsidRPr="00290E78" w:rsidRDefault="00271294" w:rsidP="001858E3">
            <w:pPr>
              <w:rPr>
                <w:sz w:val="20"/>
                <w:szCs w:val="20"/>
              </w:rPr>
            </w:pPr>
          </w:p>
          <w:p w14:paraId="552C7EDF" w14:textId="77777777" w:rsidR="00271294" w:rsidRPr="00290E78" w:rsidRDefault="00271294" w:rsidP="00271294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 to solve problems mentally:</w:t>
            </w:r>
          </w:p>
          <w:p w14:paraId="270C0156" w14:textId="049D36F2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129C0F4B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1CD5E7DB" w14:textId="3B798734" w:rsidR="00271294" w:rsidRPr="00290E78" w:rsidRDefault="00271294" w:rsidP="001858E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69D01160" w14:textId="580FC89B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6CAD6F8E" w14:textId="26553CFC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5A41F988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Pr="00290E78" w:rsidRDefault="004F494F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See previous years</w:t>
            </w:r>
          </w:p>
          <w:p w14:paraId="139310A6" w14:textId="6E0FF422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common factor</w:t>
            </w:r>
          </w:p>
          <w:p w14:paraId="5C9618E6" w14:textId="77777777" w:rsidR="004F494F" w:rsidRPr="00290E7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Pr="00290E78" w:rsidRDefault="00946EE7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 w:rsidRPr="00290E78">
              <w:rPr>
                <w:sz w:val="20"/>
                <w:szCs w:val="20"/>
              </w:rPr>
              <w:t xml:space="preserve"> as</w:t>
            </w:r>
            <w:r w:rsidR="002E49FC" w:rsidRPr="00290E78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43C0C01F" w14:textId="04708BBC" w:rsidR="00721ABE" w:rsidRPr="00290E78" w:rsidRDefault="00721ABE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the </w:t>
            </w:r>
            <w:r w:rsidR="001D74DD" w:rsidRPr="00290E78">
              <w:rPr>
                <w:sz w:val="20"/>
                <w:szCs w:val="20"/>
              </w:rPr>
              <w:t>use of multiplication to support conversions between units of measurement.</w:t>
            </w:r>
          </w:p>
          <w:p w14:paraId="7D836F2A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364C8702" w14:textId="0D1BF48E" w:rsidR="00E01AF2" w:rsidRPr="00290E78" w:rsidRDefault="000D2419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2578855F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F3C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64D69"/>
    <w:multiLevelType w:val="hybridMultilevel"/>
    <w:tmpl w:val="80409360"/>
    <w:lvl w:ilvl="0" w:tplc="147A0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52EFA"/>
    <w:rsid w:val="0008457A"/>
    <w:rsid w:val="000D0026"/>
    <w:rsid w:val="000D2419"/>
    <w:rsid w:val="000F2EC1"/>
    <w:rsid w:val="00110B48"/>
    <w:rsid w:val="00120F79"/>
    <w:rsid w:val="00126144"/>
    <w:rsid w:val="00134960"/>
    <w:rsid w:val="00181148"/>
    <w:rsid w:val="001858E3"/>
    <w:rsid w:val="00197C70"/>
    <w:rsid w:val="001D74DD"/>
    <w:rsid w:val="001E31D8"/>
    <w:rsid w:val="0020181E"/>
    <w:rsid w:val="00212342"/>
    <w:rsid w:val="0025095C"/>
    <w:rsid w:val="00252927"/>
    <w:rsid w:val="00252EF7"/>
    <w:rsid w:val="002568CB"/>
    <w:rsid w:val="00271294"/>
    <w:rsid w:val="00285EE8"/>
    <w:rsid w:val="00290E78"/>
    <w:rsid w:val="002B7F08"/>
    <w:rsid w:val="002C7E54"/>
    <w:rsid w:val="002D3CBE"/>
    <w:rsid w:val="002D5498"/>
    <w:rsid w:val="002D5797"/>
    <w:rsid w:val="002E49FC"/>
    <w:rsid w:val="002F3F34"/>
    <w:rsid w:val="00307067"/>
    <w:rsid w:val="003147D5"/>
    <w:rsid w:val="00355F0F"/>
    <w:rsid w:val="003A42DB"/>
    <w:rsid w:val="003A7285"/>
    <w:rsid w:val="003D5A31"/>
    <w:rsid w:val="00425014"/>
    <w:rsid w:val="004267E9"/>
    <w:rsid w:val="00495E00"/>
    <w:rsid w:val="004C0B18"/>
    <w:rsid w:val="004E6FE6"/>
    <w:rsid w:val="004F494F"/>
    <w:rsid w:val="004F70A4"/>
    <w:rsid w:val="0055611B"/>
    <w:rsid w:val="00566E59"/>
    <w:rsid w:val="005743AF"/>
    <w:rsid w:val="005C5611"/>
    <w:rsid w:val="00630F21"/>
    <w:rsid w:val="00661A44"/>
    <w:rsid w:val="00695028"/>
    <w:rsid w:val="006D7D5A"/>
    <w:rsid w:val="006F61C9"/>
    <w:rsid w:val="00721ABE"/>
    <w:rsid w:val="00742B61"/>
    <w:rsid w:val="007713CD"/>
    <w:rsid w:val="007A4348"/>
    <w:rsid w:val="007C6F89"/>
    <w:rsid w:val="0080098A"/>
    <w:rsid w:val="00800FE1"/>
    <w:rsid w:val="00844797"/>
    <w:rsid w:val="00853B14"/>
    <w:rsid w:val="008711B6"/>
    <w:rsid w:val="00883BB6"/>
    <w:rsid w:val="008C6259"/>
    <w:rsid w:val="008F62CD"/>
    <w:rsid w:val="009304A6"/>
    <w:rsid w:val="00935C84"/>
    <w:rsid w:val="00946EE7"/>
    <w:rsid w:val="00965897"/>
    <w:rsid w:val="00993469"/>
    <w:rsid w:val="009E6CFA"/>
    <w:rsid w:val="009F7E13"/>
    <w:rsid w:val="00A60AA0"/>
    <w:rsid w:val="00A621B3"/>
    <w:rsid w:val="00AB57BE"/>
    <w:rsid w:val="00AD30AE"/>
    <w:rsid w:val="00AE3FA8"/>
    <w:rsid w:val="00B00578"/>
    <w:rsid w:val="00B0597C"/>
    <w:rsid w:val="00B12156"/>
    <w:rsid w:val="00B37CB8"/>
    <w:rsid w:val="00B54823"/>
    <w:rsid w:val="00B7774E"/>
    <w:rsid w:val="00B77EB3"/>
    <w:rsid w:val="00B9126B"/>
    <w:rsid w:val="00BA3769"/>
    <w:rsid w:val="00C332E3"/>
    <w:rsid w:val="00C949DB"/>
    <w:rsid w:val="00CA1E47"/>
    <w:rsid w:val="00D1761A"/>
    <w:rsid w:val="00D455F8"/>
    <w:rsid w:val="00D5769B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14</cp:revision>
  <dcterms:created xsi:type="dcterms:W3CDTF">2014-04-03T13:16:00Z</dcterms:created>
  <dcterms:modified xsi:type="dcterms:W3CDTF">2015-02-25T11:39:00Z</dcterms:modified>
</cp:coreProperties>
</file>